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GradeColoridanfase11"/>
        <w:shd w:val="clear" w:fill="FFFFCC"/>
        <w:spacing w:lineRule="auto" w:line="360" w:before="120" w:after="0"/>
        <w:jc w:val="center"/>
        <w:rPr>
          <w:rFonts w:ascii="Arial" w:hAnsi="Arial" w:cs="Arial"/>
          <w:b/>
          <w:b/>
          <w:bCs/>
          <w:i w:val="false"/>
          <w:i w:val="false"/>
          <w:szCs w:val="20"/>
        </w:rPr>
      </w:pPr>
      <w:r>
        <w:rPr>
          <w:rFonts w:cs="Arial" w:ascii="Arial" w:hAnsi="Arial"/>
          <w:b/>
          <w:bCs/>
          <w:i w:val="false"/>
          <w:szCs w:val="20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bCs/>
          <w:iCs/>
          <w:color w:val="000000"/>
          <w:sz w:val="20"/>
          <w:szCs w:val="20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</w:rPr>
      </w:r>
    </w:p>
    <w:p>
      <w:pPr>
        <w:pStyle w:val="LONormal"/>
        <w:jc w:val="center"/>
        <w:rPr/>
      </w:pPr>
      <w:r>
        <w:rPr>
          <w:rStyle w:val="Fontepargpadro"/>
          <w:b/>
          <w:sz w:val="24"/>
          <w:szCs w:val="24"/>
        </w:rPr>
        <w:t>MINISTÉRIO DA DEFESA</w:t>
      </w:r>
    </w:p>
    <w:p>
      <w:pPr>
        <w:pStyle w:val="LONormal"/>
        <w:jc w:val="center"/>
        <w:rPr/>
      </w:pPr>
      <w:r>
        <w:rPr>
          <w:rStyle w:val="Fontepargpadro"/>
          <w:b/>
          <w:sz w:val="24"/>
          <w:szCs w:val="24"/>
        </w:rPr>
        <w:t>EXÉRCITO BRASILEIRO</w:t>
      </w:r>
    </w:p>
    <w:p>
      <w:pPr>
        <w:pStyle w:val="LONormal"/>
        <w:jc w:val="center"/>
        <w:rPr/>
      </w:pPr>
      <w:r>
        <w:rPr>
          <w:rStyle w:val="Fontepargpadro"/>
          <w:rFonts w:cs="Arial" w:ascii="Arial" w:hAnsi="Arial"/>
          <w:b/>
          <w:bCs/>
          <w:i w:val="false"/>
          <w:iCs w:val="false"/>
          <w:color w:val="000000"/>
          <w:sz w:val="20"/>
          <w:szCs w:val="20"/>
        </w:rPr>
        <w:t>8º BATALHÃO DE MANUTENÇÃO DE SELVA</w:t>
      </w:r>
    </w:p>
    <w:p>
      <w:pPr>
        <w:pStyle w:val="LONormal"/>
        <w:spacing w:lineRule="auto" w:line="360"/>
        <w:jc w:val="center"/>
        <w:rPr>
          <w:rFonts w:ascii="Times New Roman" w:hAnsi="Times New Roman"/>
          <w:sz w:val="22"/>
          <w:szCs w:val="22"/>
        </w:rPr>
      </w:pPr>
      <w:r>
        <w:rPr>
          <w:rStyle w:val="Fontepargpadro"/>
          <w:rFonts w:eastAsia="NYBENE+Times-Bold;Arial Unicode" w:cs="Arial" w:ascii="Arial" w:hAnsi="Arial"/>
          <w:b/>
          <w:bCs/>
          <w:i w:val="false"/>
          <w:iCs w:val="false"/>
          <w:color w:val="000000"/>
          <w:sz w:val="20"/>
          <w:szCs w:val="20"/>
        </w:rPr>
        <w:t>(8ºPel Rep Auto/8ªRM – 1946)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ATA DE REGISTRO DE PREÇOS 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>N.º .........</w:t>
      </w:r>
    </w:p>
    <w:p>
      <w:pPr>
        <w:pStyle w:val="Normal"/>
        <w:widowControl w:val="false"/>
        <w:spacing w:lineRule="auto" w:line="360"/>
        <w:ind w:right="-3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right="-28" w:firstLine="1418"/>
        <w:jc w:val="both"/>
        <w:rPr>
          <w:rFonts w:ascii="Arial" w:hAnsi="Arial" w:cs="Arial"/>
          <w:sz w:val="20"/>
          <w:szCs w:val="20"/>
        </w:rPr>
      </w:pPr>
      <w:r>
        <w:rPr>
          <w:rFonts w:cs="Times New Roman" w:ascii="Times New Roman" w:hAnsi="Times New Roman"/>
          <w:sz w:val="22"/>
          <w:szCs w:val="22"/>
        </w:rPr>
        <w:t xml:space="preserve">O </w:t>
      </w:r>
      <w:r>
        <w:rPr>
          <w:rFonts w:eastAsia="Times New Roman" w:cs="Times New Roman" w:ascii="Times New Roman" w:hAnsi="Times New Roman"/>
          <w:color w:val="auto"/>
          <w:kern w:val="0"/>
          <w:sz w:val="22"/>
          <w:szCs w:val="22"/>
          <w:lang w:val="pt-BR" w:eastAsia="pt-BR" w:bidi="ar-SA"/>
        </w:rPr>
        <w:t>8º Batalhão de Manutenção de Selva</w:t>
      </w:r>
      <w:r>
        <w:rPr>
          <w:rFonts w:cs="Times New Roman" w:ascii="Times New Roman" w:hAnsi="Times New Roman"/>
          <w:sz w:val="22"/>
          <w:szCs w:val="22"/>
        </w:rPr>
        <w:t xml:space="preserve">, com sede na Av. Pedro Álvares Cabral, 1106, Bairro - Souza, na cidade de Belém /Estado do Pará, inscrito no CNPJ sob o nº 09.609.161/0001-51, neste ato representado pelo </w:t>
      </w:r>
      <w:r>
        <w:rPr>
          <w:rFonts w:cs="Times New Roman" w:ascii="Times New Roman" w:hAnsi="Times New Roman"/>
          <w:b/>
          <w:bCs/>
          <w:sz w:val="22"/>
          <w:szCs w:val="22"/>
        </w:rPr>
        <w:t xml:space="preserve">Coronel </w:t>
      </w:r>
      <w:r>
        <w:rPr>
          <w:rFonts w:eastAsia="Times New Roman" w:cs="Times New Roman" w:ascii="Times New Roman" w:hAnsi="Times New Roman"/>
          <w:b/>
          <w:bCs/>
          <w:color w:val="auto"/>
          <w:kern w:val="0"/>
          <w:sz w:val="22"/>
          <w:szCs w:val="22"/>
          <w:lang w:val="pt-BR" w:eastAsia="pt-BR" w:bidi="ar-SA"/>
        </w:rPr>
        <w:t>Marcus Vinicius Lopes Rodrigues</w:t>
      </w:r>
      <w:r>
        <w:rPr>
          <w:rFonts w:cs="Times New Roman" w:ascii="Times New Roman" w:hAnsi="Times New Roman"/>
          <w:sz w:val="22"/>
          <w:szCs w:val="22"/>
        </w:rPr>
        <w:t xml:space="preserve">, nomeado pela  Portaria nº 658, publicada no DOU nº 137 de 22 de julho de 2021, inscrito no CPF nº 201.716.878-50, portador da Carteira de Identidade nº 0858676430, </w:t>
      </w:r>
      <w:r>
        <w:rPr>
          <w:rFonts w:cs="Arial" w:ascii="Arial" w:hAnsi="Arial"/>
          <w:sz w:val="20"/>
          <w:szCs w:val="20"/>
        </w:rPr>
        <w:t>considerando o julgamento da licitação na modalidade de pregão, na forma eletrônica, para REGISTRO DE PREÇOS nº 900</w:t>
      </w:r>
      <w:r>
        <w:rPr>
          <w:rFonts w:cs="Arial" w:ascii="Arial" w:hAnsi="Arial"/>
          <w:sz w:val="20"/>
          <w:szCs w:val="20"/>
        </w:rPr>
        <w:t>10</w:t>
      </w:r>
      <w:r>
        <w:rPr>
          <w:rFonts w:cs="Arial" w:ascii="Arial" w:hAnsi="Arial"/>
          <w:sz w:val="20"/>
          <w:szCs w:val="20"/>
        </w:rPr>
        <w:t xml:space="preserve">/2024, processo administrativo n.º </w:t>
      </w:r>
      <w:r>
        <w:rPr>
          <w:rStyle w:val="Fontepargpadro"/>
          <w:rFonts w:eastAsia="ＭＳ 明朝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kern w:val="2"/>
          <w:sz w:val="24"/>
          <w:szCs w:val="24"/>
          <w:highlight w:val="white"/>
          <w:lang w:val="pt-BR" w:eastAsia="pt-BR" w:bidi="ar-SA"/>
        </w:rPr>
        <w:t>64622.003616/2023-01</w:t>
      </w:r>
      <w:r>
        <w:rPr>
          <w:rFonts w:cs="Arial" w:ascii="Arial" w:hAnsi="Arial"/>
          <w:sz w:val="20"/>
          <w:szCs w:val="20"/>
        </w:rPr>
        <w:t>, RESOLVE registrar os preços da(s)  empresa(s) indicada(s) e qualificada(s) nesta ATA, de acordo com a classificação por ela(s) alcançada(s) e na(s)  quantidade(s)  cotada(s), atendendo as condições previstas no</w:t>
      </w:r>
      <w:r>
        <w:rPr>
          <w:rFonts w:cs="Arial" w:ascii="Arial" w:hAnsi="Arial"/>
          <w:color w:val="000000"/>
          <w:sz w:val="20"/>
          <w:szCs w:val="20"/>
        </w:rPr>
        <w:t xml:space="preserve"> Edital de licitação, </w:t>
      </w:r>
      <w:r>
        <w:rPr>
          <w:rFonts w:cs="Arial" w:ascii="Arial" w:hAnsi="Arial"/>
          <w:sz w:val="20"/>
          <w:szCs w:val="20"/>
        </w:rPr>
        <w:t>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 OBJETO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 presente Ata tem por objeto o registro de preços para a eventual </w:t>
      </w:r>
      <w:r>
        <w:rPr>
          <w:rFonts w:cs="Times New Roman" w:ascii="Times New Roman" w:hAnsi="Times New Roman"/>
          <w:b w:val="false"/>
          <w:bCs w:val="false"/>
          <w:color w:val="000000"/>
          <w:sz w:val="22"/>
          <w:szCs w:val="22"/>
        </w:rPr>
        <w:t xml:space="preserve"> a</w:t>
      </w:r>
      <w:r>
        <w:rPr>
          <w:rFonts w:cs="Times New Roman" w:ascii="Times new roman" w:hAnsi="Times new roman"/>
          <w:b w:val="false"/>
          <w:bCs w:val="false"/>
          <w:color w:val="000033"/>
          <w:sz w:val="22"/>
          <w:szCs w:val="22"/>
        </w:rPr>
        <w:t>quisição de insumos  para a confecção de armários, à serem confeccionados no 8º B Mnt Sl,</w:t>
      </w:r>
      <w:r>
        <w:rPr>
          <w:rFonts w:cs="Times New Roman" w:ascii="Times new roman" w:hAnsi="Times new roman"/>
          <w:b w:val="false"/>
          <w:bCs w:val="false"/>
          <w:color w:val="000000"/>
          <w:sz w:val="22"/>
          <w:szCs w:val="22"/>
        </w:rPr>
        <w:t xml:space="preserve"> mediante</w:t>
      </w:r>
      <w:r>
        <w:rPr>
          <w:rFonts w:cs="Times New Roman" w:ascii="Times new roman" w:hAnsi="Times new roman"/>
          <w:b w:val="false"/>
          <w:bCs w:val="false"/>
          <w:color w:val="000033"/>
          <w:sz w:val="22"/>
          <w:szCs w:val="22"/>
        </w:rPr>
        <w:t xml:space="preserve"> condições, quantidades e exigências estabelecidas neste instrumento</w:t>
      </w:r>
      <w:r>
        <w:rPr/>
        <w:t xml:space="preserve">, especificado(s) no(s) item(ns).......... do .......... Termo de Referência, anexo </w:t>
      </w:r>
      <w:r>
        <w:rPr>
          <w:i w:val="false"/>
          <w:iCs w:val="false"/>
          <w:color w:val="000000"/>
        </w:rPr>
        <w:t>do edital de Licitação nº 900</w:t>
      </w:r>
      <w:r>
        <w:rPr>
          <w:i w:val="false"/>
          <w:iCs w:val="false"/>
          <w:color w:val="000000"/>
        </w:rPr>
        <w:t>10</w:t>
      </w:r>
      <w:r>
        <w:rPr>
          <w:i w:val="false"/>
          <w:iCs w:val="false"/>
          <w:color w:val="000000"/>
        </w:rPr>
        <w:t>/2024</w:t>
      </w:r>
      <w:r>
        <w:rPr/>
        <w:t>,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DOS PREÇOS, ESPECIFICAÇÕES 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W w:w="9392" w:type="dxa"/>
        <w:jc w:val="left"/>
        <w:tblInd w:w="10" w:type="dxa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494"/>
        <w:gridCol w:w="1336"/>
        <w:gridCol w:w="1253"/>
        <w:gridCol w:w="1541"/>
        <w:gridCol w:w="1121"/>
        <w:gridCol w:w="1121"/>
        <w:gridCol w:w="841"/>
        <w:gridCol w:w="840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3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sz w:val="20"/>
          <w:szCs w:val="20"/>
          <w:lang w:eastAsia="en-US"/>
        </w:rPr>
      </w:pPr>
      <w:r>
        <w:rPr>
          <w:rFonts w:cs="Arial" w:ascii="Arial" w:hAnsi="Arial"/>
          <w:sz w:val="20"/>
          <w:szCs w:val="20"/>
          <w:lang w:eastAsia="en-US"/>
        </w:rPr>
      </w:r>
    </w:p>
    <w:p>
      <w:pPr>
        <w:pStyle w:val="Nivel2"/>
        <w:numPr>
          <w:ilvl w:val="1"/>
          <w:numId w:val="1"/>
        </w:numPr>
        <w:ind w:left="0" w:hanging="0"/>
        <w:rPr>
          <w:lang w:eastAsia="en-US"/>
        </w:rPr>
      </w:pPr>
      <w:r>
        <w:rPr>
          <w:lang w:eastAsia="en-US"/>
        </w:rPr>
        <w:t>A listagem do cadastro de reserva referente ao presente registro de preços consta como anexo a esta Ata.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ÓRGÃO(S) GERENCIADOR E  PARTICIPANTE(S)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gerenciador será o ......(nome do órgão)....</w:t>
      </w:r>
    </w:p>
    <w:p>
      <w:pPr>
        <w:pStyle w:val="Nvel2Red"/>
        <w:numPr>
          <w:ilvl w:val="1"/>
          <w:numId w:val="1"/>
        </w:numPr>
        <w:ind w:left="0" w:hanging="0"/>
        <w:rPr/>
      </w:pPr>
      <w:r>
        <w:rPr/>
        <w:t>{Além do gerenciador, não há [ou] São} órgãos e entidades públicas participantes do registro de preços:</w:t>
      </w:r>
    </w:p>
    <w:tbl>
      <w:tblPr>
        <w:tblW w:w="897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2244"/>
        <w:gridCol w:w="2244"/>
        <w:gridCol w:w="2245"/>
        <w:gridCol w:w="2244"/>
      </w:tblGrid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20"/>
                <w:szCs w:val="20"/>
              </w:rPr>
            </w:r>
          </w:p>
        </w:tc>
      </w:tr>
    </w:tbl>
    <w:p>
      <w:pPr>
        <w:pStyle w:val="Nivel01"/>
        <w:numPr>
          <w:ilvl w:val="0"/>
          <w:numId w:val="1"/>
        </w:numPr>
        <w:ind w:left="0" w:hanging="0"/>
        <w:rPr>
          <w:i/>
          <w:i/>
          <w:color w:val="FF0000"/>
        </w:rPr>
      </w:pPr>
      <w:r>
        <w:rPr/>
        <w:t xml:space="preserve">DA ADESÃO À ATA DE REGISTRO DE PREÇOS </w:t>
      </w:r>
      <w:r>
        <w:rPr>
          <w:i/>
          <w:color w:val="FF0000"/>
        </w:rPr>
        <w:t>(item obrigatório)</w:t>
      </w:r>
    </w:p>
    <w:p>
      <w:pPr>
        <w:pStyle w:val="Nvel2Red"/>
        <w:numPr>
          <w:ilvl w:val="1"/>
          <w:numId w:val="1"/>
        </w:numPr>
        <w:ind w:left="0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requisitos:</w:t>
      </w:r>
    </w:p>
    <w:p>
      <w:pPr>
        <w:pStyle w:val="Nvel3R"/>
        <w:numPr>
          <w:ilvl w:val="2"/>
          <w:numId w:val="1"/>
        </w:numPr>
        <w:ind w:left="284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apresentação de justificativa da vantagem da adesão, inclusive em situações de provável desabastecimento ou descontinuidade de serviço público;</w:t>
      </w:r>
    </w:p>
    <w:p>
      <w:pPr>
        <w:pStyle w:val="Nvel3R"/>
        <w:numPr>
          <w:ilvl w:val="2"/>
          <w:numId w:val="1"/>
        </w:numPr>
        <w:ind w:left="284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 xml:space="preserve"> </w:t>
      </w:r>
      <w:r>
        <w:rPr>
          <w:i w:val="false"/>
          <w:iCs w:val="false"/>
          <w:color w:val="000000"/>
        </w:rPr>
        <w:t>demonstração de que os valores registrados estão compatíveis com os valores praticados pelo mercado na forma do art. 23 da Lei nº 14.133, de 2021; e</w:t>
      </w:r>
    </w:p>
    <w:p>
      <w:pPr>
        <w:pStyle w:val="Nvel3R"/>
        <w:numPr>
          <w:ilvl w:val="2"/>
          <w:numId w:val="1"/>
        </w:numPr>
        <w:ind w:left="284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 xml:space="preserve"> </w:t>
      </w:r>
      <w:r>
        <w:rPr>
          <w:i w:val="false"/>
          <w:iCs w:val="false"/>
          <w:color w:val="000000"/>
        </w:rPr>
        <w:t>consulta e aceitação prévias do órgão ou da entidade gerenciadora e do fornecedor.</w:t>
      </w:r>
    </w:p>
    <w:p>
      <w:pPr>
        <w:pStyle w:val="Nvel2Red"/>
        <w:numPr>
          <w:ilvl w:val="1"/>
          <w:numId w:val="1"/>
        </w:numPr>
        <w:ind w:left="0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A autorização do órgão ou entidade gerenciadora apenas será realizada após a aceitação da adesão pelo fornecedor.</w:t>
      </w:r>
    </w:p>
    <w:p>
      <w:pPr>
        <w:pStyle w:val="Nvel3R"/>
        <w:numPr>
          <w:ilvl w:val="2"/>
          <w:numId w:val="1"/>
        </w:numPr>
        <w:ind w:left="284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O órgão ou entidade gerenciadora poderá rejeitar adesões caso elas possam acarretar prejuízo à execução de seus próprios contratos ou à sua capacidade de gerencia prorrogado excepcionalmente, mediante solicitação do órgão ou da entidade não participante aceita pelo órgão ou pela entidade gerenciadora, desde que respeitado o limite temporal de vigência da ata de registro de preços.</w:t>
      </w:r>
    </w:p>
    <w:p>
      <w:pPr>
        <w:pStyle w:val="Nvel2Red"/>
        <w:numPr>
          <w:ilvl w:val="1"/>
          <w:numId w:val="1"/>
        </w:numPr>
        <w:ind w:left="0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 xml:space="preserve"> </w:t>
      </w:r>
      <w:r>
        <w:rPr>
          <w:i w:val="false"/>
          <w:iCs w:val="false"/>
          <w:color w:val="000000"/>
        </w:rPr>
        <w:t>Após a autorização do órgão ou da entidade gerenciadora, o órgão ou entidade não participante deverá efetivar a aquisição ou a contratação solicitada em até noventa dias, observado o prazo de vigência da ata.</w:t>
      </w:r>
    </w:p>
    <w:p>
      <w:pPr>
        <w:pStyle w:val="Nvel2Red"/>
        <w:numPr>
          <w:ilvl w:val="1"/>
          <w:numId w:val="1"/>
        </w:numPr>
        <w:ind w:left="0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 xml:space="preserve"> </w:t>
      </w:r>
      <w:r>
        <w:rPr>
          <w:i w:val="false"/>
          <w:iCs w:val="false"/>
          <w:color w:val="000000"/>
        </w:rPr>
        <w:t>O prazo de que trata o subitem anterior, relativo à efetivação da contratação, poderá ser integrante, na qualidade de não participante, para aqueles itens para os quais não tenha quantitativo registrado, observados os requisitos do item 4.1.</w:t>
      </w:r>
    </w:p>
    <w:p>
      <w:pPr>
        <w:pStyle w:val="SubTitNN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Dos limites para as adesões</w:t>
      </w:r>
    </w:p>
    <w:p>
      <w:pPr>
        <w:pStyle w:val="Nvel2Red"/>
        <w:numPr>
          <w:ilvl w:val="1"/>
          <w:numId w:val="1"/>
        </w:numPr>
        <w:ind w:left="0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As aquisições ou contratações adicionais não poderão exceder, por órgão ou entidade, a cinquenta por cento dos quantitativos dos itens do instrumento convocatório registrados na ata de registro de preços para o gerenciador e para os participantes.</w:t>
      </w:r>
    </w:p>
    <w:p>
      <w:pPr>
        <w:pStyle w:val="Nvel2Red"/>
        <w:numPr>
          <w:ilvl w:val="1"/>
          <w:numId w:val="1"/>
        </w:numPr>
        <w:ind w:left="0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 xml:space="preserve">As adesões à ata de registro de preços são limitadas, na totalidade, ao dobro do quantitativo de cada item registrado na ata de registro de preços para o órgão gerenciador e órgãos participantes, independente do número de órgãos não participantes que eventualmente aderirem. </w:t>
      </w:r>
    </w:p>
    <w:p>
      <w:pPr>
        <w:pStyle w:val="Nvel2Red"/>
        <w:numPr>
          <w:ilvl w:val="1"/>
          <w:numId w:val="1"/>
        </w:numPr>
        <w:ind w:left="0" w:hanging="0"/>
        <w:rPr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  <w:t>Para aquisição emergencial de medicamentos e material de consumo médico-hospitalar por órgãos e en</w:t>
      </w:r>
      <w:r>
        <w:rPr>
          <w:rFonts w:eastAsia="Arial"/>
          <w:i w:val="false"/>
          <w:iCs w:val="false"/>
          <w:color w:val="000000"/>
        </w:rPr>
        <w:t>ti</w:t>
      </w:r>
      <w:r>
        <w:rPr>
          <w:i w:val="false"/>
          <w:iCs w:val="false"/>
          <w:color w:val="000000"/>
        </w:rPr>
        <w:t>dades da Administração Pública federal, estadual, distrital e municipal, a adesão à ata de registro de preços gerenciada pelo Ministério da Saúde não estará sujeita ao limite previsto no item 4.7.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adesão à ata de registro de preços por órgãos e en</w:t>
      </w:r>
      <w:r>
        <w:rPr>
          <w:rFonts w:eastAsia="Arial"/>
        </w:rPr>
        <w:t>ti</w:t>
      </w:r>
      <w:r>
        <w:rPr/>
        <w:t>dades da Administração Pública estadual, distrital e municipal poderá ser exigida para fins de transferências voluntárias, não ficando sujeita ao limite de que trata o item 4.7, desde que seja des</w:t>
      </w:r>
      <w:r>
        <w:rPr>
          <w:rFonts w:eastAsia="Arial"/>
        </w:rPr>
        <w:t>ti</w:t>
      </w:r>
      <w:r>
        <w:rPr/>
        <w:t>nada à execução descentralizada de programa ou projeto federal e comprovada a compatibilidade dos preços registrados com os valores praticados no mercado na forma do art. 23 da Lei nº 14.133, de 2021.</w:t>
      </w:r>
    </w:p>
    <w:p>
      <w:pPr>
        <w:pStyle w:val="SubTitNN"/>
        <w:rPr/>
      </w:pPr>
      <w:r>
        <w:rPr/>
        <w:t>Vedação a acréscimo de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left="0" w:hanging="0"/>
        <w:rPr>
          <w:iCs/>
        </w:rPr>
      </w:pPr>
      <w:r>
        <w:rPr/>
        <w:t xml:space="preserve">O prazo de vigência da ata de registro de preços será de um ano, contato do primeiro dia útil subsequente à data de divulgação no PNCP, e poderá ser prorrogado por igual período, desde que comprovado que o preço é vantajoso.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>
          <w:color w:val="000000"/>
        </w:rPr>
        <w:t>O contrato decorrente da ata de registro de preços terá sua vigência</w:t>
      </w:r>
      <w:r>
        <w:rPr/>
        <w:t xml:space="preserve">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contratação com os fornecedores registrados na ata será formalizada pelo órgão ou pela en</w:t>
      </w:r>
      <w:r>
        <w:rPr>
          <w:rFonts w:eastAsia="Arial"/>
        </w:rPr>
        <w:t>ti</w:t>
      </w:r>
      <w:r>
        <w:rPr/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Serão registrados na ata os preços e os quantita</w:t>
      </w:r>
      <w:r>
        <w:rPr>
          <w:rFonts w:eastAsia="Arial"/>
        </w:rPr>
        <w:t>ti</w:t>
      </w:r>
      <w:r>
        <w:rPr/>
        <w:t>vos do adjudicatário, devendo ser observada a possibilidade de o licitante oferecer ou não proposta em quantitativo inferior ao máximo previst</w:t>
      </w:r>
      <w:r>
        <w:rPr>
          <w:i/>
          <w:iCs/>
          <w:color w:val="000000"/>
        </w:rPr>
        <w:t>o no edital e s</w:t>
      </w:r>
      <w:r>
        <w:rPr/>
        <w:t>e obrigar nos limites dela;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a que se refere o item 5.4.2</w:t>
      </w:r>
      <w:r>
        <w:rPr>
          <w:b/>
          <w:bCs/>
        </w:rPr>
        <w:t xml:space="preserve"> </w:t>
      </w:r>
      <w:r>
        <w:rPr/>
        <w:t>tem por obje</w:t>
      </w:r>
      <w:r>
        <w:rPr>
          <w:rFonts w:eastAsia="Arial"/>
        </w:rPr>
        <w:t>ti</w:t>
      </w:r>
      <w:r>
        <w:rPr/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 habilitação dos licitantes que comporão o cadastro de reserva a que se refere o item </w:t>
      </w:r>
      <w:r>
        <w:rPr/>
        <w:fldChar w:fldCharType="begin"/>
      </w:r>
      <w:r>
        <w:rPr/>
        <w:instrText> REF cadastro_reserva \r \h </w:instrText>
      </w:r>
      <w:r>
        <w:rPr/>
        <w:fldChar w:fldCharType="separate"/>
      </w:r>
      <w:r>
        <w:rPr/>
        <w:t>5.4.2.2.</w:t>
      </w:r>
      <w:r>
        <w:rPr/>
        <w:fldChar w:fldCharType="end"/>
      </w:r>
      <w:r>
        <w:rPr/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Quando o licitante vencedor não assinar a ata de registro de preços, no prazo e nas condições estabelecidos </w:t>
      </w:r>
      <w:r>
        <w:rPr>
          <w:i/>
          <w:iCs/>
          <w:color w:val="000000"/>
        </w:rPr>
        <w:t>no edital ; e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Quando houver o cancelamento do registro do licitante ou do registro de preços nas hipóteses previstas no item </w:t>
      </w:r>
      <w:r>
        <w:rPr/>
        <w:fldChar w:fldCharType="begin"/>
      </w:r>
      <w:r>
        <w:rPr/>
        <w:instrText> REF cancelamento \r \h </w:instrText>
      </w:r>
      <w:r>
        <w:rPr/>
        <w:fldChar w:fldCharType="separate"/>
      </w:r>
      <w:r>
        <w:rPr/>
        <w:t>9.</w:t>
      </w:r>
      <w:r>
        <w:rPr/>
        <w:fldChar w:fldCharType="end"/>
      </w:r>
      <w:r>
        <w:rPr/>
        <w:t>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Quando o convocado não assinar a ata de registro de preços no prazo e nas condições estabelecidos no edital </w:t>
      </w:r>
      <w:r>
        <w:rPr>
          <w:strike/>
        </w:rPr>
        <w:t>ou no aviso de contratação,</w:t>
      </w:r>
      <w:r>
        <w:rPr/>
        <w:t xml:space="preserve"> e observado o disposto no item </w:t>
      </w:r>
      <w:r>
        <w:rPr/>
        <w:fldChar w:fldCharType="begin"/>
      </w:r>
      <w:r>
        <w:rPr/>
        <w:instrText> REF habilitacao_reserva \r \h </w:instrText>
      </w:r>
      <w:r>
        <w:rPr/>
        <w:fldChar w:fldCharType="separate"/>
      </w:r>
      <w:r>
        <w:rPr/>
        <w:t>Erro: Origem da referência não encontrada</w:t>
      </w:r>
      <w:r>
        <w:rPr/>
        <w:fldChar w:fldCharType="end"/>
      </w:r>
      <w:r>
        <w:rPr/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nenhum dos licitantes que trata o item 5.4.2.1, aceitar a contratação nos termos do item anterior, a Administração, observados o valor es</w:t>
      </w:r>
      <w:r>
        <w:rPr>
          <w:rFonts w:eastAsia="Arial"/>
        </w:rPr>
        <w:t>ti</w:t>
      </w:r>
      <w:r>
        <w:rPr/>
        <w:t xml:space="preserve">mado e sua eventual atualização nos termos </w:t>
      </w:r>
      <w:r>
        <w:rPr>
          <w:i w:val="false"/>
          <w:iCs w:val="false"/>
          <w:color w:val="000000"/>
        </w:rPr>
        <w:t>do edital</w:t>
      </w:r>
      <w:r>
        <w:rPr/>
        <w:t>, poderá: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ALTERAÇÃO OU ATUALIZAÇÃO DOS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Os preços registrados poderão ser alterados ou atualizados em decorrência de eventual redução dos preços pra</w:t>
      </w:r>
      <w:r>
        <w:rPr>
          <w:rFonts w:eastAsia="Calibri"/>
        </w:rPr>
        <w:t>ti</w:t>
      </w:r>
      <w:r>
        <w:rPr/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Em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color w:val="0000EF"/>
        </w:rPr>
        <w:t>alínea “d” do inciso II do caput do art. 124 da Lei nº 14.133, de 2021;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Em caso de criação, alteração ou ex</w:t>
      </w:r>
      <w:r>
        <w:rPr>
          <w:rFonts w:eastAsia="Calibri"/>
        </w:rPr>
        <w:t>ti</w:t>
      </w:r>
      <w:r>
        <w:rPr/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NEGOCIAÇÃO DE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registrado tornar-se superior ao preço pra</w:t>
      </w:r>
      <w:r>
        <w:rPr>
          <w:rFonts w:eastAsia="Calibri"/>
        </w:rPr>
        <w:t>ti</w:t>
      </w:r>
      <w:r>
        <w:rPr/>
        <w:t>cado no mercado por mo</w:t>
      </w:r>
      <w:r>
        <w:rPr>
          <w:rFonts w:eastAsia="Calibri"/>
        </w:rPr>
        <w:t>ti</w:t>
      </w:r>
      <w:r>
        <w:rPr/>
        <w:t>vo superveniente, o órgão ou en</w:t>
      </w:r>
      <w:r>
        <w:rPr>
          <w:rFonts w:eastAsia="Calibri"/>
        </w:rPr>
        <w:t>ti</w:t>
      </w:r>
      <w:r>
        <w:rPr/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Caso não aceite reduzir seu preço aos valores pra</w:t>
      </w:r>
      <w:r>
        <w:rPr>
          <w:rFonts w:eastAsia="Calibri"/>
        </w:rPr>
        <w:t>ti</w:t>
      </w:r>
      <w:r>
        <w:rPr/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Se não obtiver êxito nas negociações, o órgão ou en</w:t>
      </w:r>
      <w:r>
        <w:rPr>
          <w:rFonts w:eastAsia="Calibri"/>
        </w:rPr>
        <w:t>tid</w:t>
      </w:r>
      <w:r>
        <w:rPr/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left="284" w:hanging="0"/>
        <w:rPr/>
      </w:pPr>
      <w:r>
        <w:rPr>
          <w:rFonts w:cs="Calibri" w:ascii="Calibri" w:hAnsi="Calibri"/>
        </w:rPr>
        <w:t>Na hipótese de</w:t>
      </w:r>
      <w:r>
        <w:rPr/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rPr/>
        <w:t xml:space="preserve">dade gerenciadora e o fornecedor deverá cumprir as obrigações estabelecidas na ata, sob pena de cancelamento do seu registro, nos termos do item </w:t>
      </w:r>
      <w:r>
        <w:rPr/>
        <w:fldChar w:fldCharType="begin"/>
      </w:r>
      <w:r>
        <w:rPr/>
        <w:instrText> REF cancelamento_do_fornecedor \r \h </w:instrText>
      </w:r>
      <w:r>
        <w:rPr/>
        <w:fldChar w:fldCharType="separate"/>
      </w:r>
      <w:r>
        <w:rPr/>
        <w:t>9.1.</w:t>
      </w:r>
      <w:r>
        <w:rPr/>
        <w:fldChar w:fldCharType="end"/>
      </w:r>
      <w:r>
        <w:rPr/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Se não obtiver êxito nas negociações, o órgão ou entidade gerenciadora procederá ao cancelamento da ata de registro de preços, nos termos do item </w:t>
      </w:r>
      <w:r>
        <w:rPr/>
        <w:fldChar w:fldCharType="begin"/>
      </w:r>
      <w:r>
        <w:rPr/>
        <w:instrText> REF cancelamento_da_ata \r \h </w:instrText>
      </w:r>
      <w:r>
        <w:rPr/>
        <w:fldChar w:fldCharType="separate"/>
      </w:r>
      <w:r>
        <w:rPr/>
        <w:t>9.4.</w:t>
      </w:r>
      <w:r>
        <w:rPr/>
        <w:fldChar w:fldCharType="end"/>
      </w:r>
      <w:r>
        <w:rPr/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Na hipótese de comprovação da majoração do preço de mercado que inviabilize o preço registrado, conforme previsto no item </w:t>
      </w:r>
      <w:r>
        <w:rPr/>
        <w:fldChar w:fldCharType="begin"/>
      </w:r>
      <w:r>
        <w:rPr/>
        <w:instrText> REF hipotese_preco_mercado_maior \r \h </w:instrText>
      </w:r>
      <w:r>
        <w:rPr/>
        <w:fldChar w:fldCharType="separate"/>
      </w:r>
      <w:r>
        <w:rPr/>
        <w:t>7.2.</w:t>
      </w:r>
      <w:r>
        <w:rPr/>
        <w:fldChar w:fldCharType="end"/>
      </w:r>
      <w:r>
        <w:rPr/>
        <w:t xml:space="preserve"> e no item </w:t>
      </w:r>
      <w:r>
        <w:rPr/>
        <w:fldChar w:fldCharType="begin"/>
      </w:r>
      <w:r>
        <w:rPr/>
        <w:instrText> REF prova_preco_mercado_maior \r \h </w:instrText>
      </w:r>
      <w:r>
        <w:rPr/>
        <w:fldChar w:fldCharType="separate"/>
      </w:r>
      <w:r>
        <w:rPr/>
        <w:t>7.2.1.</w:t>
      </w:r>
      <w:r>
        <w:rPr/>
        <w:fldChar w:fldCharType="end"/>
      </w:r>
      <w:r>
        <w:rPr/>
        <w:t>, o órgão ou en</w:t>
      </w:r>
      <w:r>
        <w:rPr>
          <w:rFonts w:eastAsia="Calibri"/>
        </w:rPr>
        <w:t>ti</w:t>
      </w:r>
      <w:r>
        <w:rPr/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O órgão ou en</w:t>
      </w:r>
      <w:r>
        <w:rPr>
          <w:rFonts w:eastAsia="Calibri"/>
        </w:rPr>
        <w:t>ti</w:t>
      </w:r>
      <w:r>
        <w:rPr/>
        <w:t>dade gerenciadora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sobre a efe</w:t>
      </w:r>
      <w:r>
        <w:rPr>
          <w:rFonts w:eastAsia="Calibri"/>
        </w:rPr>
        <w:t>ti</w:t>
      </w:r>
      <w:r>
        <w:rPr/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REMANEJAMENTO DAS QUANTIDADES REGISTRADAS NA ATA DE REGISTRO DE PREÇOS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As quan</w:t>
      </w:r>
      <w:r>
        <w:rPr>
          <w:rFonts w:eastAsia="Arial"/>
        </w:rPr>
        <w:t>ti</w:t>
      </w:r>
      <w:r>
        <w:rPr/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rPr/>
        <w:t>dade gerenciadora entre os órgãos ou as en</w:t>
      </w:r>
      <w:r>
        <w:rPr>
          <w:rFonts w:eastAsia="Arial"/>
        </w:rPr>
        <w:t>ti</w:t>
      </w:r>
      <w:r>
        <w:rPr/>
        <w:t>dades par</w:t>
      </w:r>
      <w:r>
        <w:rPr>
          <w:rFonts w:eastAsia="Arial"/>
        </w:rPr>
        <w:t>ti</w:t>
      </w:r>
      <w:r>
        <w:rPr/>
        <w:t>cipantes e não par</w:t>
      </w:r>
      <w:r>
        <w:rPr>
          <w:rFonts w:eastAsia="Arial"/>
        </w:rPr>
        <w:t>ti</w:t>
      </w:r>
      <w:r>
        <w:rPr/>
        <w:t>cipantes do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O remanejamento somente poderá ser feito: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entidade não participante.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</w:t>
      </w:r>
      <w:r>
        <w:rPr>
          <w:rFonts w:eastAsia="Arial"/>
        </w:rPr>
        <w:t>ti</w:t>
      </w:r>
      <w:r>
        <w:rPr/>
        <w:t>dade gerenciadora que tiver es</w:t>
      </w:r>
      <w:r>
        <w:rPr>
          <w:rFonts w:eastAsia="Arial"/>
        </w:rPr>
        <w:t>ti</w:t>
      </w:r>
      <w:r>
        <w:rPr/>
        <w:t>mado as quan</w:t>
      </w:r>
      <w:r>
        <w:rPr>
          <w:rFonts w:eastAsia="Arial"/>
        </w:rPr>
        <w:t>ti</w:t>
      </w:r>
      <w:r>
        <w:rPr/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remanejamento de órgão ou entidade par</w:t>
      </w:r>
      <w:r>
        <w:rPr>
          <w:rFonts w:eastAsia="Arial"/>
        </w:rPr>
        <w:t>ti</w:t>
      </w:r>
      <w:r>
        <w:rPr/>
        <w:t>cipante para órgão ou entidade não participante, serão observados os limites previstos no art. 32 do Decreto nº 11.462, de 2023.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Competirá ao órgão ou à en</w:t>
      </w:r>
      <w:r>
        <w:rPr>
          <w:rFonts w:eastAsia="Arial"/>
        </w:rPr>
        <w:t>ti</w:t>
      </w:r>
      <w:r>
        <w:rPr/>
        <w:t>dade gerenciadora autorizar o remanejamento solicitado, com a redução do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 inicialmente informado pelo órgão ou pela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cipante, desde que haja prévia anuência do órgão ou da en</w:t>
      </w:r>
      <w:r>
        <w:rPr>
          <w:rFonts w:eastAsia="Arial"/>
        </w:rPr>
        <w:t>ti</w:t>
      </w:r>
      <w:r>
        <w:rPr/>
        <w:t>dade que sofrer redução dos quantitativos informados.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Caso o remanejamento seja feito entre órgãos ou en</w:t>
      </w:r>
      <w:r>
        <w:rPr>
          <w:rFonts w:eastAsia="Arial"/>
        </w:rPr>
        <w:t>ti</w:t>
      </w:r>
      <w:r>
        <w:rPr/>
        <w:t>dades dos Estados, do Distrito Federal ou de Municípios dis</w:t>
      </w:r>
      <w:r>
        <w:rPr>
          <w:rFonts w:eastAsia="Arial"/>
        </w:rPr>
        <w:t>ti</w:t>
      </w:r>
      <w:r>
        <w:rPr/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da compra centralizada, não havendo indicação pelo órgão ou pela en</w:t>
      </w:r>
      <w:r>
        <w:rPr>
          <w:rFonts w:eastAsia="Arial"/>
        </w:rPr>
        <w:t>ti</w:t>
      </w:r>
      <w:r>
        <w:rPr/>
        <w:t>dade gerenciadora, dos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vos dos par</w:t>
      </w:r>
      <w:r>
        <w:rPr>
          <w:rFonts w:eastAsia="Arial"/>
        </w:rPr>
        <w:t>ti</w:t>
      </w:r>
      <w:r>
        <w:rPr/>
        <w:t xml:space="preserve">cipantes da compra centralizada, nos termos do item </w:t>
      </w:r>
      <w:r>
        <w:rPr/>
        <w:fldChar w:fldCharType="begin"/>
      </w:r>
      <w:r>
        <w:rPr/>
        <w:instrText> REF gerenciador_estimador_é_partic_em_remane \r \h </w:instrText>
      </w:r>
      <w:r>
        <w:rPr/>
        <w:fldChar w:fldCharType="separate"/>
      </w:r>
      <w:r>
        <w:rPr/>
        <w:t>8.3.</w:t>
      </w:r>
      <w:r>
        <w:rPr/>
        <w:fldChar w:fldCharType="end"/>
      </w:r>
      <w:r>
        <w:rPr/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left="0" w:hanging="0"/>
        <w:rPr>
          <w:iCs/>
        </w:rPr>
      </w:pPr>
      <w:r>
        <w:rPr/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re</w:t>
      </w:r>
      <w:r>
        <w:rPr>
          <w:rFonts w:eastAsia="Arial"/>
        </w:rPr>
        <w:t>ti</w:t>
      </w:r>
      <w:r>
        <w:rPr/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 </w:t>
      </w:r>
      <w:r>
        <w:rPr/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 xml:space="preserve">O cancelamento de registros nas hipóteses previstas no item </w:t>
      </w:r>
      <w:r>
        <w:rPr/>
        <w:fldChar w:fldCharType="begin"/>
      </w:r>
      <w:r>
        <w:rPr/>
        <w:instrText> REF cancelamento_do_fornecedor \r \h </w:instrText>
      </w:r>
      <w:r>
        <w:rPr/>
        <w:fldChar w:fldCharType="separate"/>
      </w:r>
      <w:r>
        <w:rPr/>
        <w:t>9.1.</w:t>
      </w:r>
      <w:r>
        <w:rPr/>
        <w:fldChar w:fldCharType="end"/>
      </w:r>
      <w:r>
        <w:rPr/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/>
        <w:t xml:space="preserve"> 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Por razão de interesse público;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DAS PENALIDADES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O descumprimento da Ata de Registro de Preços ensejará aplicação das penalidades estabelecidas </w:t>
      </w:r>
      <w:r>
        <w:rPr>
          <w:i w:val="false"/>
          <w:iCs w:val="false"/>
          <w:color w:val="000000"/>
        </w:rPr>
        <w:t>no edital</w:t>
      </w:r>
    </w:p>
    <w:p>
      <w:pPr>
        <w:pStyle w:val="Nvel3"/>
        <w:numPr>
          <w:ilvl w:val="2"/>
          <w:numId w:val="1"/>
        </w:numPr>
        <w:ind w:left="284" w:hanging="0"/>
        <w:rPr/>
      </w:pPr>
      <w:r>
        <w:rPr/>
        <w:t xml:space="preserve">As sanções também se aplicam aos integrantes do cadastro de reserva no registro de preços que, convocados, não honrarem o compromisso assumido injustificadamente após terem assinado a ata. 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CONDIÇÕES GERAIS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As condições gerais de execução do objeto, tais como os prazos para entrega e recebimento, as obrigações da Administração e do fornecedor registrado, penalidades e demais condições do ajuste, encontram-se definidos no Termo de Referência, ANEXO</w:t>
      </w:r>
      <w:r>
        <w:rPr>
          <w:i/>
          <w:iCs/>
          <w:color w:val="000000"/>
        </w:rPr>
        <w:t xml:space="preserve"> AO EDITAL</w:t>
      </w:r>
      <w:r>
        <w:rPr>
          <w:i/>
          <w:color w:val="000000"/>
        </w:rPr>
        <w:t xml:space="preserve"> </w:t>
      </w:r>
    </w:p>
    <w:p>
      <w:pPr>
        <w:pStyle w:val="Nvel2Red"/>
        <w:numPr>
          <w:ilvl w:val="0"/>
          <w:numId w:val="0"/>
        </w:numPr>
        <w:ind w:left="1283" w:hanging="0"/>
        <w:rPr/>
      </w:pPr>
      <w:r>
        <w:rPr/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cs="Arial"/>
          <w:i/>
          <w:i/>
          <w:iCs/>
          <w:color w:val="FF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Para firmeza e validade do pactuado, a presente Ata foi lavrada em </w:t>
      </w:r>
      <w:r>
        <w:rPr>
          <w:rFonts w:cs="Arial" w:ascii="Arial" w:hAnsi="Arial"/>
          <w:color w:val="FF0000"/>
          <w:sz w:val="20"/>
          <w:szCs w:val="20"/>
        </w:rPr>
        <w:t xml:space="preserve">.... </w:t>
      </w:r>
      <w:r>
        <w:rPr>
          <w:rFonts w:cs="Arial" w:ascii="Arial" w:hAnsi="Arial"/>
          <w:sz w:val="20"/>
          <w:szCs w:val="20"/>
        </w:rPr>
        <w:t>(</w:t>
      </w:r>
      <w:r>
        <w:rPr>
          <w:rFonts w:cs="Arial" w:ascii="Arial" w:hAnsi="Arial"/>
          <w:color w:val="FF0000"/>
          <w:sz w:val="20"/>
          <w:szCs w:val="20"/>
        </w:rPr>
        <w:t>....</w:t>
      </w:r>
      <w:r>
        <w:rPr>
          <w:rFonts w:cs="Arial" w:ascii="Arial" w:hAnsi="Arial"/>
          <w:sz w:val="20"/>
          <w:szCs w:val="20"/>
        </w:rPr>
        <w:t>) vias de igual teor, que, depois de lida e achada em ordem, vai assinada pelas partes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 xml:space="preserve"> e encaminhada cópia aos demais órgãos participantes. 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Local e data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Assinaturas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Representante legal do órgão gerenciador e representante(s) legal(is) do(s) </w:t>
      </w:r>
      <w:r>
        <w:rPr>
          <w:rFonts w:cs="Arial" w:ascii="Arial" w:hAnsi="Arial"/>
          <w:color w:val="000000"/>
          <w:sz w:val="20"/>
          <w:szCs w:val="20"/>
        </w:rPr>
        <w:t>fornecedor(s) registrado(s)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Anexo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Cadastro Reserva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494"/>
        <w:gridCol w:w="1336"/>
        <w:gridCol w:w="1253"/>
        <w:gridCol w:w="1541"/>
        <w:gridCol w:w="1121"/>
        <w:gridCol w:w="1121"/>
        <w:gridCol w:w="841"/>
        <w:gridCol w:w="840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3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3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695"/>
        <w:gridCol w:w="1135"/>
        <w:gridCol w:w="1253"/>
        <w:gridCol w:w="1541"/>
        <w:gridCol w:w="1121"/>
        <w:gridCol w:w="1121"/>
        <w:gridCol w:w="841"/>
        <w:gridCol w:w="840"/>
        <w:gridCol w:w="844"/>
      </w:tblGrid>
      <w:tr>
        <w:trPr>
          <w:trHeight w:val="511" w:hRule="atLeast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X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Quantidade Mínima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5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/>
      </w:r>
    </w:p>
    <w:sectPr>
      <w:footerReference w:type="default" r:id="rId2"/>
      <w:type w:val="nextPage"/>
      <w:pgSz w:w="11906" w:h="16838"/>
      <w:pgMar w:left="1701" w:right="1134" w:header="0" w:top="1418" w:footer="708" w:bottom="141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Ecofont_Spranq_eco_Sans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nfase1Char" w:customStyle="1">
    <w:name w:val="Grade Colorida - Ênfase 1 Char"/>
    <w:link w:val="GradeColorida-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link w:val="Corpodetexto"/>
    <w:uiPriority w:val="99"/>
    <w:qFormat/>
    <w:rsid w:val="002f4c05"/>
    <w:rPr>
      <w:sz w:val="24"/>
      <w:szCs w:val="24"/>
    </w:rPr>
  </w:style>
  <w:style w:type="character" w:styleId="LinkdaInternet">
    <w:name w:val="Link da Internet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link w:val="Cabealho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Citao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styleId="Ttulo1Char" w:customStyle="1">
    <w:name w:val="Título 1 Char"/>
    <w:basedOn w:val="DefaultParagraphFont"/>
    <w:link w:val="Ttulo1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val="365F91" w:themeColor="accent1" w:themeShade="bf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link w:val="Textodebalo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RedChar" w:customStyle="1">
    <w:name w:val="Nível 2 -Red Char"/>
    <w:basedOn w:val="Nivel2Char"/>
    <w:link w:val="Nvel2-Red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link w:val="ou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RChar" w:customStyle="1">
    <w:name w:val="Nível 3-R Char"/>
    <w:basedOn w:val="DefaultParagraphFont"/>
    <w:link w:val="Nvel3-R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character" w:styleId="Fontepargpadro">
    <w:name w:val="Fonte parág. padrão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GradeColoridanfase11" w:customStyle="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 w:hanging="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val="000000" w:themeColor="text1"/>
    </w:rPr>
  </w:style>
  <w:style w:type="paragraph" w:styleId="Nivel1" w:customStyle="1">
    <w:name w:val="Nivel1"/>
    <w:basedOn w:val="Ttulo1"/>
    <w:next w:val="Normal"/>
    <w:link w:val="Nivel1Char"/>
    <w:qFormat/>
    <w:rsid w:val="006362ae"/>
    <w:pPr>
      <w:widowControl w:val="false"/>
      <w:spacing w:lineRule="auto" w:line="276" w:before="480" w:after="120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636001"/>
    <w:pPr>
      <w:tabs>
        <w:tab w:val="clear" w:pos="708"/>
        <w:tab w:val="left" w:pos="567" w:leader="none"/>
      </w:tabs>
      <w:spacing w:lineRule="auto" w:line="276" w:before="120" w:after="120"/>
      <w:ind w:left="0" w:hanging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spacing w:lineRule="auto" w:line="276" w:before="120" w:after="120"/>
      <w:ind w:left="0" w:hanging="0"/>
      <w:jc w:val="both"/>
    </w:pPr>
    <w:rPr>
      <w:rFonts w:ascii="Arial" w:hAnsi="Arial" w:cs="Arial"/>
      <w:sz w:val="20"/>
      <w:szCs w:val="20"/>
    </w:rPr>
  </w:style>
  <w:style w:type="paragraph" w:styleId="Nvel2Red" w:customStyle="1">
    <w:name w:val="Nível 2 -Red"/>
    <w:basedOn w:val="Nivel2"/>
    <w:link w:val="Nvel2-RedChar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link w:val="ouChar"/>
    <w:qFormat/>
    <w:rsid w:val="009d6ccc"/>
    <w:pPr>
      <w:spacing w:lineRule="auto" w:line="259" w:before="60" w:after="60"/>
      <w:ind w:left="0" w:hanging="0"/>
      <w:contextualSpacing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R" w:customStyle="1">
    <w:name w:val="Nível 3-R"/>
    <w:basedOn w:val="Normal"/>
    <w:link w:val="Nvel3-RChar"/>
    <w:qFormat/>
    <w:rsid w:val="00b73e47"/>
    <w:pPr>
      <w:spacing w:lineRule="auto" w:line="276" w:before="120" w:after="120"/>
      <w:ind w:left="284" w:hanging="0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left="567" w:hanging="0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4"/>
      <w:szCs w:val="20"/>
      <w:lang w:val="pt-BR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<Relationship Id="rId10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/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/>
</file>

<file path=customXml/itemProps4.xml><?xml version="1.0" encoding="utf-8"?>
<ds:datastoreItem xmlns:ds="http://schemas.openxmlformats.org/officeDocument/2006/customXml" ds:itemID="{2E413F30-1464-43D5-A034-C65A5C7E8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LibreOffice/6.4.7.2$Linux_X86_64 LibreOffice_project/40$Build-2</Application>
  <Pages>8</Pages>
  <Words>3339</Words>
  <Characters>18556</Characters>
  <CharactersWithSpaces>21665</CharactersWithSpaces>
  <Paragraphs>171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cp:lastPrinted>2024-01-31T10:49:47Z</cp:lastPrinted>
  <dcterms:modified xsi:type="dcterms:W3CDTF">2024-07-15T13:50:11Z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0x01010012A2765E7DFD38469B2E626874CD0041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